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行政检查流程图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pict>
          <v:shape id="_x0000_s2050" o:spid="_x0000_s2050" o:spt="117" type="#_x0000_t117" style="position:absolute;left:0pt;margin-left:152.25pt;margin-top:13.8pt;height:42pt;width:108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制定检</w:t>
                  </w:r>
                </w:p>
                <w:p>
                  <w:pPr>
                    <w:ind w:firstLine="210" w:firstLineChars="100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查方案</w:t>
                  </w:r>
                </w:p>
              </w:txbxContent>
            </v:textbox>
          </v:shape>
        </w:pic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pict>
          <v:shape id="_x0000_s2051" o:spid="_x0000_s2051" o:spt="32" type="#_x0000_t32" style="position:absolute;left:0pt;margin-left:208.5pt;margin-top:24.6pt;height:42pt;width:0.75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pict>
          <v:rect id="_x0000_s2052" o:spid="_x0000_s2052" o:spt="1" style="position:absolute;left:0pt;margin-left:161.25pt;margin-top:4.2pt;height:33.75pt;width:86.2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</w:pPr>
                  <w:r>
                    <w:t>公告或通知</w:t>
                  </w:r>
                </w:p>
              </w:txbxContent>
            </v:textbox>
          </v:rect>
        </w:pict>
      </w:r>
    </w:p>
    <w:p>
      <w:pPr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pict>
          <v:rect id="_x0000_s2057" o:spid="_x0000_s2057" o:spt="1" style="position:absolute;left:0pt;margin-left:318pt;margin-top:15.75pt;height:84.75pt;width:113.2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t>查阅资料</w:t>
                  </w:r>
                </w:p>
                <w:p>
                  <w:r>
                    <w:rPr>
                      <w:rFonts w:hint="eastAsia"/>
                    </w:rPr>
                    <w:t>查看现场</w:t>
                  </w:r>
                </w:p>
                <w:p>
                  <w:r>
                    <w:rPr>
                      <w:rFonts w:hint="eastAsia"/>
                    </w:rPr>
                    <w:t>听取当事人陈述申辩</w:t>
                  </w:r>
                </w:p>
                <w:p>
                  <w:r>
                    <w:rPr>
                      <w:rFonts w:hint="eastAsia"/>
                    </w:rPr>
                    <w:t>取证材料</w:t>
                  </w:r>
                </w:p>
                <w:p>
                  <w:r>
                    <w:rPr>
                      <w:rFonts w:hint="eastAsia"/>
                    </w:rPr>
                    <w:t>其它</w:t>
                  </w:r>
                </w:p>
              </w:txbxContent>
            </v:textbox>
          </v:rect>
        </w:pict>
      </w:r>
      <w:r>
        <w:rPr>
          <w:rFonts w:asciiTheme="majorEastAsia" w:hAnsiTheme="majorEastAsia" w:eastAsiaTheme="majorEastAsia"/>
          <w:b/>
          <w:sz w:val="44"/>
          <w:szCs w:val="44"/>
        </w:rPr>
        <w:pict>
          <v:shape id="_x0000_s2053" o:spid="_x0000_s2053" o:spt="32" type="#_x0000_t32" style="position:absolute;left:0pt;margin-left:208.5pt;margin-top:8.25pt;height:38.25pt;width:0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pict>
          <v:rect id="_x0000_s2054" o:spid="_x0000_s2054" o:spt="1" style="position:absolute;left:0pt;margin-left:168.75pt;margin-top:15.3pt;height:30.75pt;width:78.7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</w:pPr>
                  <w:r>
                    <w:t>检查实施</w:t>
                  </w:r>
                </w:p>
              </w:txbxContent>
            </v:textbox>
          </v:rect>
        </w:pict>
      </w:r>
    </w:p>
    <w:p>
      <w:pPr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pict>
          <v:shape id="_x0000_s2056" o:spid="_x0000_s2056" o:spt="32" type="#_x0000_t32" style="position:absolute;left:0pt;margin-left:247.5pt;margin-top:-0.15pt;height:0pt;width:68.25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b/>
          <w:sz w:val="44"/>
          <w:szCs w:val="44"/>
        </w:rPr>
        <w:pict>
          <v:shape id="_x0000_s2058" o:spid="_x0000_s2058" o:spt="32" type="#_x0000_t32" style="position:absolute;left:0pt;flip:x;margin-left:208.5pt;margin-top:14.85pt;height:46.5pt;width:0.85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bookmarkEnd w:id="0"/>
      <w:r>
        <w:rPr>
          <w:rFonts w:asciiTheme="majorEastAsia" w:hAnsiTheme="majorEastAsia" w:eastAsiaTheme="majorEastAsia"/>
          <w:b/>
          <w:sz w:val="44"/>
          <w:szCs w:val="44"/>
        </w:rPr>
        <w:pict>
          <v:shape id="_x0000_s2060" o:spid="_x0000_s2060" o:spt="110" type="#_x0000_t110" style="position:absolute;left:0pt;margin-left:155.25pt;margin-top:30.15pt;height:59.25pt;width:105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检查报告</w:t>
                  </w:r>
                </w:p>
              </w:txbxContent>
            </v:textbox>
          </v:shape>
        </w:pict>
      </w:r>
    </w:p>
    <w:p>
      <w:pPr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pict>
          <v:shape id="_x0000_s2068" o:spid="_x0000_s2068" o:spt="32" type="#_x0000_t32" style="position:absolute;left:0pt;margin-left:70.5pt;margin-top:29.7pt;height:328.5pt;width:0pt;z-index:2516746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b/>
          <w:sz w:val="44"/>
          <w:szCs w:val="44"/>
        </w:rPr>
        <w:pict>
          <v:shape id="_x0000_s2067" o:spid="_x0000_s2067" o:spt="32" type="#_x0000_t32" style="position:absolute;left:0pt;flip:x;margin-left:70.5pt;margin-top:29.6pt;height:0.1pt;width:84.75pt;z-index:2516736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tabs>
          <w:tab w:val="left" w:pos="975"/>
        </w:tabs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 w:val="44"/>
          <w:szCs w:val="44"/>
        </w:rPr>
        <w:tab/>
      </w:r>
    </w:p>
    <w:p>
      <w:pPr>
        <w:tabs>
          <w:tab w:val="left" w:pos="975"/>
        </w:tabs>
        <w:ind w:firstLine="2209" w:firstLine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pict>
          <v:shape id="_x0000_s2061" o:spid="_x0000_s2061" o:spt="32" type="#_x0000_t32" style="position:absolute;left:0pt;margin-left:208.5pt;margin-top:11.4pt;height:120.6pt;width:0.75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tabs>
          <w:tab w:val="left" w:pos="975"/>
        </w:tabs>
        <w:rPr>
          <w:rFonts w:asciiTheme="majorEastAsia" w:hAnsiTheme="majorEastAsia" w:eastAsiaTheme="majorEastAsia"/>
          <w:szCs w:val="21"/>
        </w:rPr>
      </w:pPr>
    </w:p>
    <w:p>
      <w:pPr>
        <w:tabs>
          <w:tab w:val="left" w:pos="975"/>
        </w:tabs>
        <w:ind w:firstLine="1050" w:firstLineChars="5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                         发</w:t>
      </w:r>
    </w:p>
    <w:p>
      <w:pPr>
        <w:tabs>
          <w:tab w:val="left" w:pos="975"/>
        </w:tabs>
        <w:ind w:firstLine="3780" w:firstLineChars="18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现</w:t>
      </w:r>
    </w:p>
    <w:p>
      <w:pPr>
        <w:tabs>
          <w:tab w:val="left" w:pos="975"/>
        </w:tabs>
        <w:ind w:firstLine="3780" w:firstLineChars="18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违</w:t>
      </w:r>
    </w:p>
    <w:p>
      <w:pPr>
        <w:tabs>
          <w:tab w:val="left" w:pos="975"/>
        </w:tabs>
        <w:ind w:firstLine="3780" w:firstLineChars="18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法</w:t>
      </w:r>
    </w:p>
    <w:p>
      <w:pPr>
        <w:tabs>
          <w:tab w:val="left" w:pos="975"/>
        </w:tabs>
        <w:ind w:firstLine="3780" w:firstLineChars="18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行</w:t>
      </w:r>
    </w:p>
    <w:p>
      <w:pPr>
        <w:tabs>
          <w:tab w:val="left" w:pos="975"/>
        </w:tabs>
        <w:ind w:firstLine="3780" w:firstLineChars="18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为</w:t>
      </w:r>
    </w:p>
    <w:p>
      <w:pPr>
        <w:tabs>
          <w:tab w:val="left" w:pos="975"/>
        </w:tabs>
        <w:ind w:firstLine="2209" w:firstLine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pict>
          <v:shape id="_x0000_s2062" o:spid="_x0000_s2062" o:spt="110" type="#_x0000_t110" style="position:absolute;left:0pt;margin-left:151.5pt;margin-top:7.2pt;height:43.5pt;width:114.75pt;z-index:2516684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处理决定</w:t>
                  </w:r>
                </w:p>
              </w:txbxContent>
            </v:textbox>
          </v:shape>
        </w:pict>
      </w:r>
    </w:p>
    <w:p>
      <w:pPr>
        <w:tabs>
          <w:tab w:val="left" w:pos="975"/>
        </w:tabs>
        <w:ind w:firstLine="1050" w:firstLineChars="500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未</w:t>
      </w:r>
    </w:p>
    <w:p>
      <w:pPr>
        <w:tabs>
          <w:tab w:val="left" w:pos="975"/>
        </w:tabs>
        <w:ind w:firstLine="1050" w:firstLineChars="500"/>
        <w:jc w:val="left"/>
        <w:rPr>
          <w:rFonts w:hint="eastAsia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发</w:t>
      </w:r>
    </w:p>
    <w:p>
      <w:pPr>
        <w:tabs>
          <w:tab w:val="left" w:pos="975"/>
        </w:tabs>
        <w:ind w:left="1058" w:leftChars="504" w:firstLine="0" w:firstLineChars="0"/>
        <w:jc w:val="both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pict>
          <v:shape id="_x0000_s2063" o:spid="_x0000_s2063" o:spt="32" type="#_x0000_t32" style="position:absolute;left:0pt;margin-left:209.4pt;margin-top:3.9pt;height:46.35pt;width:0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Theme="majorEastAsia" w:hAnsiTheme="majorEastAsia" w:eastAsiaTheme="majorEastAsia"/>
          <w:szCs w:val="21"/>
          <w:lang w:eastAsia="zh-CN"/>
        </w:rPr>
        <w:t>现</w:t>
      </w:r>
    </w:p>
    <w:p>
      <w:pPr>
        <w:tabs>
          <w:tab w:val="left" w:pos="975"/>
        </w:tabs>
        <w:ind w:firstLine="1050" w:firstLineChars="500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违</w:t>
      </w:r>
    </w:p>
    <w:p>
      <w:pPr>
        <w:tabs>
          <w:tab w:val="left" w:pos="975"/>
        </w:tabs>
        <w:ind w:firstLine="1050" w:firstLineChars="500"/>
        <w:jc w:val="left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法</w:t>
      </w:r>
    </w:p>
    <w:p>
      <w:pPr>
        <w:tabs>
          <w:tab w:val="left" w:pos="975"/>
        </w:tabs>
        <w:ind w:firstLine="1050" w:firstLine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pict>
          <v:rect id="_x0000_s2071" o:spid="_x0000_s2071" o:spt="1" style="position:absolute;left:0pt;margin-left:361.5pt;margin-top:3.45pt;height:38.25pt;width:75.75pt;z-index:2516776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</w:pPr>
                  <w:r>
                    <w:t>行政复议</w:t>
                  </w:r>
                </w:p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行政诉讼</w:t>
                  </w:r>
                </w:p>
              </w:txbxContent>
            </v:textbox>
          </v:rect>
        </w:pict>
      </w:r>
      <w:r>
        <w:rPr>
          <w:rFonts w:asciiTheme="majorEastAsia" w:hAnsiTheme="majorEastAsia" w:eastAsiaTheme="majorEastAsia"/>
          <w:b/>
          <w:sz w:val="44"/>
          <w:szCs w:val="44"/>
        </w:rPr>
        <w:pict>
          <v:rect id="_x0000_s2064" o:spid="_x0000_s2064" o:spt="1" style="position:absolute;left:0pt;margin-left:161.25pt;margin-top:3.45pt;height:38.25pt;width:102.7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t>处理决定落实情况</w:t>
                  </w:r>
                </w:p>
              </w:txbxContent>
            </v:textbox>
          </v:rect>
        </w:pict>
      </w:r>
      <w:r>
        <w:rPr>
          <w:rFonts w:hint="eastAsia" w:asciiTheme="majorEastAsia" w:hAnsiTheme="majorEastAsia" w:eastAsiaTheme="majorEastAsia"/>
          <w:szCs w:val="21"/>
        </w:rPr>
        <w:t>行                                         不服处理意见</w:t>
      </w:r>
    </w:p>
    <w:p>
      <w:pPr>
        <w:tabs>
          <w:tab w:val="left" w:pos="975"/>
        </w:tabs>
        <w:ind w:firstLine="1050" w:firstLineChars="500"/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pict>
          <v:shape id="_x0000_s2070" o:spid="_x0000_s2070" o:spt="32" type="#_x0000_t32" style="position:absolute;left:0pt;margin-left:264.7pt;margin-top:9.95pt;height:0pt;width:96.8pt;z-index:2516766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 w:asciiTheme="majorEastAsia" w:hAnsiTheme="majorEastAsia" w:eastAsiaTheme="majorEastAsia"/>
          <w:szCs w:val="21"/>
        </w:rPr>
        <w:t>为</w:t>
      </w:r>
    </w:p>
    <w:p>
      <w:pPr>
        <w:tabs>
          <w:tab w:val="left" w:pos="975"/>
        </w:tabs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pict>
          <v:shape id="_x0000_s2065" o:spid="_x0000_s2065" o:spt="32" type="#_x0000_t32" style="position:absolute;left:0pt;margin-left:208.4pt;margin-top:10.5pt;height:32.4pt;width:0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74" o:spid="_x0000_s2074" o:spt="32" type="#_x0000_t32" style="position:absolute;left:0pt;margin-left:399.75pt;margin-top:10.45pt;height:51.35pt;width:0pt;z-index:2516817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tabs>
          <w:tab w:val="left" w:pos="5625"/>
        </w:tabs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ab/>
      </w:r>
    </w:p>
    <w:p>
      <w:pPr>
        <w:tabs>
          <w:tab w:val="left" w:pos="5625"/>
        </w:tabs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pict>
          <v:shape id="_x0000_s2066" o:spid="_x0000_s2066" o:spt="116" type="#_x0000_t116" style="position:absolute;left:0pt;margin-left:159pt;margin-top:11.7pt;height:36pt;width:101.25pt;z-index:2516725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420" w:firstLineChars="200"/>
                  </w:pPr>
                  <w:r>
                    <w:t>办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t>结</w:t>
                  </w:r>
                </w:p>
              </w:txbxContent>
            </v:textbox>
          </v:shape>
        </w:pict>
      </w:r>
    </w:p>
    <w:p>
      <w:pPr>
        <w:tabs>
          <w:tab w:val="left" w:pos="5625"/>
        </w:tabs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pict>
          <v:shape id="_x0000_s2069" o:spid="_x0000_s2069" o:spt="32" type="#_x0000_t32" style="position:absolute;left:0pt;margin-left:72pt;margin-top:15pt;height:0.05pt;width:87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Cs w:val="21"/>
        </w:rPr>
        <w:pict>
          <v:shape id="_x0000_s2073" o:spid="_x0000_s2073" o:spt="32" type="#_x0000_t32" style="position:absolute;left:0pt;flip:x y;margin-left:260.25pt;margin-top:14.1pt;height:0.9pt;width:139.5pt;z-index:25167974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tabs>
          <w:tab w:val="left" w:pos="5625"/>
        </w:tabs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                                                  </w:t>
      </w:r>
    </w:p>
    <w:p>
      <w:pPr>
        <w:tabs>
          <w:tab w:val="left" w:pos="5625"/>
        </w:tabs>
        <w:rPr>
          <w:rFonts w:asciiTheme="majorEastAsia" w:hAnsiTheme="majorEastAsia" w:eastAsiaTheme="majorEastAsia"/>
          <w:szCs w:val="21"/>
        </w:rPr>
      </w:pPr>
    </w:p>
    <w:p>
      <w:pPr>
        <w:tabs>
          <w:tab w:val="left" w:pos="5625"/>
        </w:tabs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097"/>
    <w:rsid w:val="00110B29"/>
    <w:rsid w:val="00245FBF"/>
    <w:rsid w:val="00261BD8"/>
    <w:rsid w:val="002F2894"/>
    <w:rsid w:val="0035715D"/>
    <w:rsid w:val="003C520D"/>
    <w:rsid w:val="00440E6B"/>
    <w:rsid w:val="004D2097"/>
    <w:rsid w:val="005906EB"/>
    <w:rsid w:val="005B6073"/>
    <w:rsid w:val="005F672D"/>
    <w:rsid w:val="00614AA6"/>
    <w:rsid w:val="006C7AB0"/>
    <w:rsid w:val="008B1335"/>
    <w:rsid w:val="00973010"/>
    <w:rsid w:val="00A32600"/>
    <w:rsid w:val="00B564FF"/>
    <w:rsid w:val="00B67D7F"/>
    <w:rsid w:val="00BB68C9"/>
    <w:rsid w:val="00D2244E"/>
    <w:rsid w:val="00D33B5B"/>
    <w:rsid w:val="00F41094"/>
    <w:rsid w:val="38BA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3"/>
        <o:r id="V:Rule3" type="connector" idref="#_x0000_s2056"/>
        <o:r id="V:Rule4" type="connector" idref="#_x0000_s2058"/>
        <o:r id="V:Rule5" type="connector" idref="#_x0000_s2061"/>
        <o:r id="V:Rule6" type="connector" idref="#_x0000_s2063"/>
        <o:r id="V:Rule7" type="connector" idref="#_x0000_s2065"/>
        <o:r id="V:Rule8" type="connector" idref="#_x0000_s2067"/>
        <o:r id="V:Rule9" type="connector" idref="#_x0000_s2068"/>
        <o:r id="V:Rule10" type="connector" idref="#_x0000_s2069"/>
        <o:r id="V:Rule11" type="connector" idref="#_x0000_s2070"/>
        <o:r id="V:Rule12" type="connector" idref="#_x0000_s2073">
          <o:proxy end="" idref="#_x0000_s2066" connectloc="3"/>
        </o:r>
        <o:r id="V:Rule13" type="connector" idref="#_x0000_s207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7"/>
    <customShpInfo spid="_x0000_s2053"/>
    <customShpInfo spid="_x0000_s2054"/>
    <customShpInfo spid="_x0000_s2056"/>
    <customShpInfo spid="_x0000_s2058"/>
    <customShpInfo spid="_x0000_s2060"/>
    <customShpInfo spid="_x0000_s2068"/>
    <customShpInfo spid="_x0000_s2067"/>
    <customShpInfo spid="_x0000_s2061"/>
    <customShpInfo spid="_x0000_s2062"/>
    <customShpInfo spid="_x0000_s2063"/>
    <customShpInfo spid="_x0000_s2071"/>
    <customShpInfo spid="_x0000_s2064"/>
    <customShpInfo spid="_x0000_s2070"/>
    <customShpInfo spid="_x0000_s2065"/>
    <customShpInfo spid="_x0000_s2074"/>
    <customShpInfo spid="_x0000_s2066"/>
    <customShpInfo spid="_x0000_s2069"/>
    <customShpInfo spid="_x0000_s2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48</TotalTime>
  <ScaleCrop>false</ScaleCrop>
  <LinksUpToDate>false</LinksUpToDate>
  <CharactersWithSpaces>201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2019-11-15T01:21:00Z</dcterms:created>
  <dc:creator>Windows 用户</dc:creator>
  <cp:lastModifiedBy>weixiu</cp:lastModifiedBy>
  <cp:lastPrinted>2019-11-15T02:19:08Z</cp:lastPrinted>
  <dcterms:modified xsi:type="dcterms:W3CDTF">2019-11-15T02:19:32Z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