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b/>
          <w:bCs/>
          <w:sz w:val="36"/>
          <w:szCs w:val="36"/>
        </w:rPr>
      </w:pPr>
      <w:r>
        <w:rPr>
          <w:rFonts w:hint="eastAsia" w:ascii="宋体" w:hAnsi="宋体" w:eastAsia="宋体" w:cs="宋体"/>
          <w:b/>
          <w:bCs/>
          <w:sz w:val="36"/>
          <w:szCs w:val="36"/>
          <w:lang w:eastAsia="zh-CN"/>
        </w:rPr>
        <w:t>后安</w:t>
      </w:r>
      <w:r>
        <w:rPr>
          <w:rFonts w:hint="eastAsia" w:ascii="宋体" w:hAnsi="宋体" w:eastAsia="宋体" w:cs="宋体"/>
          <w:b/>
          <w:bCs/>
          <w:sz w:val="36"/>
          <w:szCs w:val="36"/>
        </w:rPr>
        <w:t>镇</w:t>
      </w:r>
      <w:r>
        <w:rPr>
          <w:rFonts w:hint="eastAsia" w:ascii="宋体" w:hAnsi="宋体" w:eastAsia="宋体" w:cs="宋体"/>
          <w:b/>
          <w:bCs/>
          <w:sz w:val="36"/>
          <w:szCs w:val="36"/>
          <w:lang w:eastAsia="zh-CN"/>
        </w:rPr>
        <w:t>人民</w:t>
      </w:r>
      <w:r>
        <w:rPr>
          <w:rFonts w:hint="eastAsia" w:ascii="宋体" w:hAnsi="宋体" w:eastAsia="宋体" w:cs="宋体"/>
          <w:b/>
          <w:bCs/>
          <w:sz w:val="36"/>
          <w:szCs w:val="36"/>
        </w:rPr>
        <w:t>政府重大行政执法决定法制审核制度</w:t>
      </w:r>
    </w:p>
    <w:p>
      <w:pPr>
        <w:pStyle w:val="2"/>
        <w:spacing w:line="360" w:lineRule="auto"/>
        <w:ind w:firstLine="588" w:firstLineChars="196"/>
        <w:rPr>
          <w:rFonts w:hint="eastAsia" w:ascii="仿宋" w:hAnsi="仿宋" w:eastAsia="仿宋" w:cs="仿宋"/>
          <w:b w:val="0"/>
          <w:sz w:val="30"/>
          <w:szCs w:val="30"/>
        </w:rPr>
      </w:pPr>
      <w:r>
        <w:rPr>
          <w:rFonts w:hint="eastAsia" w:ascii="仿宋" w:hAnsi="仿宋" w:eastAsia="仿宋" w:cs="仿宋"/>
          <w:b w:val="0"/>
          <w:sz w:val="30"/>
          <w:szCs w:val="30"/>
        </w:rPr>
        <w:t>第一条为保护公民、法人和其他组织的合法权益，严格规范公正文明执法，加强对重大行政执法行为的监督，根据《辽宁省重大行政执法决定法制审核办法》，制定本制度。</w:t>
      </w:r>
    </w:p>
    <w:p>
      <w:pPr>
        <w:pStyle w:val="2"/>
        <w:spacing w:line="360" w:lineRule="auto"/>
        <w:ind w:firstLine="588" w:firstLineChars="196"/>
        <w:rPr>
          <w:rFonts w:hint="eastAsia" w:ascii="仿宋" w:hAnsi="仿宋" w:eastAsia="仿宋" w:cs="仿宋"/>
          <w:b w:val="0"/>
          <w:sz w:val="30"/>
          <w:szCs w:val="30"/>
        </w:rPr>
      </w:pPr>
      <w:r>
        <w:rPr>
          <w:rFonts w:hint="eastAsia" w:ascii="仿宋" w:hAnsi="仿宋" w:eastAsia="仿宋" w:cs="仿宋"/>
          <w:b w:val="0"/>
          <w:sz w:val="30"/>
          <w:szCs w:val="30"/>
        </w:rPr>
        <w:t xml:space="preserve">第二条 </w:t>
      </w:r>
      <w:r>
        <w:rPr>
          <w:rFonts w:hint="eastAsia" w:ascii="仿宋" w:hAnsi="仿宋" w:eastAsia="仿宋" w:cs="仿宋"/>
          <w:b w:val="0"/>
          <w:sz w:val="30"/>
          <w:szCs w:val="30"/>
          <w:lang w:eastAsia="zh-CN"/>
        </w:rPr>
        <w:t>后安</w:t>
      </w:r>
      <w:r>
        <w:rPr>
          <w:rFonts w:hint="eastAsia" w:ascii="仿宋" w:hAnsi="仿宋" w:eastAsia="仿宋" w:cs="仿宋"/>
          <w:b w:val="0"/>
          <w:sz w:val="30"/>
          <w:szCs w:val="30"/>
        </w:rPr>
        <w:t>镇</w:t>
      </w:r>
      <w:r>
        <w:rPr>
          <w:rFonts w:hint="eastAsia" w:ascii="仿宋" w:hAnsi="仿宋" w:eastAsia="仿宋" w:cs="仿宋"/>
          <w:b w:val="0"/>
          <w:sz w:val="30"/>
          <w:szCs w:val="30"/>
          <w:lang w:eastAsia="zh-CN"/>
        </w:rPr>
        <w:t>人民</w:t>
      </w:r>
      <w:r>
        <w:rPr>
          <w:rFonts w:hint="eastAsia" w:ascii="仿宋" w:hAnsi="仿宋" w:eastAsia="仿宋" w:cs="仿宋"/>
          <w:b w:val="0"/>
          <w:sz w:val="30"/>
          <w:szCs w:val="30"/>
        </w:rPr>
        <w:t>政府做出的重大行政执法决定应当经过法制审核机构法制审核通过，凡未经镇法制审核或者法制审核未通过的行政执法拟处理意见，不得做出行政执法决定。</w:t>
      </w:r>
    </w:p>
    <w:p>
      <w:pPr>
        <w:pStyle w:val="2"/>
        <w:spacing w:line="360" w:lineRule="auto"/>
        <w:ind w:firstLine="588" w:firstLineChars="196"/>
        <w:rPr>
          <w:rFonts w:hint="eastAsia" w:ascii="仿宋" w:hAnsi="仿宋" w:eastAsia="仿宋" w:cs="仿宋"/>
          <w:b w:val="0"/>
          <w:sz w:val="30"/>
          <w:szCs w:val="30"/>
        </w:rPr>
      </w:pPr>
      <w:r>
        <w:rPr>
          <w:rFonts w:hint="eastAsia" w:ascii="仿宋" w:hAnsi="仿宋" w:eastAsia="仿宋" w:cs="仿宋"/>
          <w:b w:val="0"/>
          <w:sz w:val="30"/>
          <w:szCs w:val="30"/>
        </w:rPr>
        <w:t>第三条 法制审核应当坚持以下原则：</w:t>
      </w:r>
    </w:p>
    <w:p>
      <w:pPr>
        <w:pStyle w:val="2"/>
        <w:spacing w:line="360" w:lineRule="auto"/>
        <w:ind w:firstLine="588" w:firstLineChars="196"/>
        <w:rPr>
          <w:rFonts w:hint="eastAsia" w:ascii="仿宋" w:hAnsi="仿宋" w:eastAsia="仿宋" w:cs="仿宋"/>
          <w:b w:val="0"/>
          <w:sz w:val="30"/>
          <w:szCs w:val="30"/>
        </w:rPr>
      </w:pPr>
      <w:r>
        <w:rPr>
          <w:rFonts w:hint="eastAsia" w:ascii="仿宋" w:hAnsi="仿宋" w:eastAsia="仿宋" w:cs="仿宋"/>
          <w:b w:val="0"/>
          <w:sz w:val="30"/>
          <w:szCs w:val="30"/>
        </w:rPr>
        <w:t>（一）依法审核原则；</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（二）全面审核原则。审查的内容包括主体资格、事实、法律适用，执法程序等事项；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（三）集体讨论原则。法制审核意见应当由法制审核机构集体讨论做出；</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（四）办审分离原则。法制审核职责由法制审核领导小组负责，严禁即执法又审核。</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第四条 镇法制审核领导小组负责重大行政执法决定的法制审核工作。</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第五条 法制审核人员应当具有政治素质高、业务能力强、法律专业背景，原则上不少于执法人员总数的5%，可以吸纳政府法律顾问或者公职律师从事法制审核工作。符合下列条件之一的，可以确定为法制审核人员：</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1、具有法律专业本科及以上学历；</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2、具有2年以上法制工作经历；</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3、具有3年以上执法经历；</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4、具有国家统一法律职业资格。</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shd w:val="clear" w:color="auto" w:fill="FFFFFF"/>
        </w:rPr>
        <w:t>法制审核人员与法制审核案件有直接利害关系的，应当回避。</w:t>
      </w:r>
    </w:p>
    <w:p>
      <w:pPr>
        <w:spacing w:line="360" w:lineRule="auto"/>
        <w:ind w:firstLine="600" w:firstLineChars="200"/>
        <w:rPr>
          <w:rFonts w:hint="eastAsia" w:ascii="仿宋" w:hAnsi="仿宋" w:eastAsia="仿宋" w:cs="仿宋"/>
          <w:bCs/>
          <w:sz w:val="30"/>
          <w:szCs w:val="30"/>
        </w:rPr>
      </w:pPr>
      <w:r>
        <w:rPr>
          <w:rFonts w:hint="eastAsia" w:ascii="仿宋" w:hAnsi="仿宋" w:eastAsia="仿宋" w:cs="仿宋"/>
          <w:sz w:val="30"/>
          <w:szCs w:val="30"/>
        </w:rPr>
        <w:t xml:space="preserve">第六条 </w:t>
      </w:r>
      <w:r>
        <w:rPr>
          <w:rFonts w:hint="eastAsia" w:ascii="仿宋" w:hAnsi="仿宋" w:eastAsia="仿宋" w:cs="仿宋"/>
          <w:bCs/>
          <w:sz w:val="30"/>
          <w:szCs w:val="30"/>
        </w:rPr>
        <w:t>开展法制审核人员培训工作，提高法制审核人员的法律素养和业务能力，每年开展的培训不应少于一次，培训采取集中和自学相结合的方式进行，年培训不得少于40学时。</w:t>
      </w:r>
    </w:p>
    <w:p>
      <w:pPr>
        <w:spacing w:line="360" w:lineRule="auto"/>
        <w:ind w:firstLine="600" w:firstLineChars="200"/>
        <w:rPr>
          <w:rFonts w:hint="eastAsia" w:ascii="仿宋" w:hAnsi="仿宋" w:eastAsia="仿宋" w:cs="仿宋"/>
          <w:bCs/>
          <w:sz w:val="30"/>
          <w:szCs w:val="30"/>
        </w:rPr>
      </w:pPr>
      <w:r>
        <w:rPr>
          <w:rFonts w:hint="eastAsia" w:ascii="仿宋" w:hAnsi="仿宋" w:eastAsia="仿宋" w:cs="仿宋"/>
          <w:bCs/>
          <w:sz w:val="30"/>
          <w:szCs w:val="30"/>
        </w:rPr>
        <w:t>第七条 重大行政执法决定是指以下行政执法决定：</w:t>
      </w:r>
    </w:p>
    <w:p>
      <w:pPr>
        <w:spacing w:line="360" w:lineRule="auto"/>
        <w:ind w:firstLine="600" w:firstLineChars="200"/>
        <w:rPr>
          <w:rFonts w:hint="eastAsia" w:ascii="仿宋" w:hAnsi="仿宋" w:eastAsia="仿宋" w:cs="仿宋"/>
          <w:bCs/>
          <w:sz w:val="30"/>
          <w:szCs w:val="30"/>
        </w:rPr>
      </w:pPr>
      <w:r>
        <w:rPr>
          <w:rFonts w:hint="eastAsia" w:ascii="仿宋" w:hAnsi="仿宋" w:eastAsia="仿宋" w:cs="仿宋"/>
          <w:bCs/>
          <w:sz w:val="30"/>
          <w:szCs w:val="30"/>
        </w:rPr>
        <w:t>（一）给予自然人罚款、没收违法所得在3000.00元以上的行政处罚。给予法人或者其它组织罚款、没收违法所得在30000.00元以上的行政处罚的；</w:t>
      </w:r>
    </w:p>
    <w:p>
      <w:pPr>
        <w:spacing w:line="360" w:lineRule="auto"/>
        <w:ind w:firstLine="600" w:firstLineChars="200"/>
        <w:rPr>
          <w:rFonts w:hint="eastAsia" w:ascii="仿宋" w:hAnsi="仿宋" w:eastAsia="仿宋" w:cs="仿宋"/>
          <w:bCs/>
          <w:sz w:val="30"/>
          <w:szCs w:val="30"/>
        </w:rPr>
      </w:pPr>
      <w:r>
        <w:rPr>
          <w:rFonts w:hint="eastAsia" w:ascii="仿宋" w:hAnsi="仿宋" w:eastAsia="仿宋" w:cs="仿宋"/>
          <w:bCs/>
          <w:sz w:val="30"/>
          <w:szCs w:val="30"/>
        </w:rPr>
        <w:t>（二）所有的行政强制执法行为</w:t>
      </w:r>
    </w:p>
    <w:p>
      <w:pPr>
        <w:spacing w:line="360" w:lineRule="auto"/>
        <w:ind w:firstLine="600" w:firstLineChars="200"/>
        <w:rPr>
          <w:rFonts w:hint="eastAsia" w:ascii="仿宋" w:hAnsi="仿宋" w:eastAsia="仿宋" w:cs="仿宋"/>
          <w:bCs/>
          <w:sz w:val="30"/>
          <w:szCs w:val="30"/>
        </w:rPr>
      </w:pPr>
      <w:r>
        <w:rPr>
          <w:rFonts w:hint="eastAsia" w:ascii="仿宋" w:hAnsi="仿宋" w:eastAsia="仿宋" w:cs="仿宋"/>
          <w:bCs/>
          <w:sz w:val="30"/>
          <w:szCs w:val="30"/>
        </w:rPr>
        <w:t>（三）所有的行政裁决执法行为</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bCs/>
          <w:sz w:val="30"/>
          <w:szCs w:val="30"/>
        </w:rPr>
        <w:t>第八条 镇政府具体执法部门，</w:t>
      </w:r>
      <w:r>
        <w:rPr>
          <w:rFonts w:hint="eastAsia" w:ascii="仿宋" w:hAnsi="仿宋" w:eastAsia="仿宋" w:cs="仿宋"/>
          <w:sz w:val="30"/>
          <w:szCs w:val="30"/>
        </w:rPr>
        <w:t>在调查终结后作出行政执法决定前,对符合重大行政执法决定条件的案件应送镇法制审核领导小组进行法制审核。</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第九条 行政执法人员送审案件应当包括以下材料：</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（一）填写《重大行政执法决定法制审核送审表》。《重大行政执法决定审核送审表》应当设置执法机构名称、执法对象自然信息、行政执法事项名称、拟作出的重大行政执法决定的结论、法制审核意见栏。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（二）拟作出重大行政执法决定书文本；</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拟作出重大行政执法决定的情况说明。载明案件行政执法对象自然信息，案件来源、基本事实及证据、适用法律、法规、规章和执行裁量权基准情况、程序的合法性、执法人员资格、行政执法决定结论等内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（四）拟作出重大行政执法决定案件的全部案卷材料。</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bCs/>
          <w:sz w:val="30"/>
          <w:szCs w:val="30"/>
        </w:rPr>
        <w:t>第十条 镇法制审核领导小组对重大行政执法决定送审案件首先进行形式审查，对</w:t>
      </w:r>
      <w:r>
        <w:rPr>
          <w:rFonts w:hint="eastAsia" w:ascii="仿宋" w:hAnsi="仿宋" w:eastAsia="仿宋" w:cs="仿宋"/>
          <w:sz w:val="30"/>
          <w:szCs w:val="30"/>
        </w:rPr>
        <w:t>材料不齐全的，可以要求行政执法人员及时补充，补充材料时间不计入审核时间。必要时，可以调阅审核执法决定的相关材料，行政执法人员应当予以协助配合。</w:t>
      </w:r>
    </w:p>
    <w:p>
      <w:pPr>
        <w:spacing w:line="360" w:lineRule="auto"/>
        <w:ind w:firstLine="600" w:firstLineChars="200"/>
        <w:rPr>
          <w:rFonts w:hint="eastAsia" w:ascii="仿宋" w:hAnsi="仿宋" w:eastAsia="仿宋" w:cs="仿宋"/>
          <w:b/>
          <w:sz w:val="30"/>
          <w:szCs w:val="30"/>
        </w:rPr>
      </w:pPr>
      <w:r>
        <w:rPr>
          <w:rFonts w:hint="eastAsia" w:ascii="仿宋" w:hAnsi="仿宋" w:eastAsia="仿宋" w:cs="仿宋"/>
          <w:sz w:val="30"/>
          <w:szCs w:val="30"/>
        </w:rPr>
        <w:t>第十一条 镇法制审核领导小组对形式审查合格的送审案件，应当从以下几个方面进行实质性审查：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（一）行政执法机关主体是否合法，行政执法人员是否具备执法资格；</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（二）程序是否合法；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（三）主要事实是否清楚，证据是否确凿充分；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（四）适用法律、法规、规章是否准确，裁量基准运用是否适当；</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（五）行政执法是否有超越执法机关法定权限或滥用职权的情形;</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（六）行政执法文书的制作是否规范、齐备；</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（七）违法行为是否涉嫌犯罪。</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bCs/>
          <w:sz w:val="30"/>
          <w:szCs w:val="30"/>
        </w:rPr>
        <w:t>第十二条 镇</w:t>
      </w:r>
      <w:r>
        <w:rPr>
          <w:rFonts w:hint="eastAsia" w:ascii="仿宋" w:hAnsi="仿宋" w:eastAsia="仿宋" w:cs="仿宋"/>
          <w:sz w:val="30"/>
          <w:szCs w:val="30"/>
        </w:rPr>
        <w:t xml:space="preserve">法制审核领导小组应当自收到重大行政执法决定送审材料起7个工作日内完成审核工作；案件复杂的，经负责人批准可以延长3个工作日。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法律、法规、规章对法制审核时限另有规定的，依其规定。</w:t>
      </w:r>
    </w:p>
    <w:p>
      <w:pPr>
        <w:spacing w:line="360" w:lineRule="auto"/>
        <w:ind w:firstLine="600" w:firstLineChars="200"/>
        <w:rPr>
          <w:rFonts w:hint="eastAsia" w:ascii="仿宋" w:hAnsi="仿宋" w:eastAsia="仿宋" w:cs="仿宋"/>
          <w:bCs/>
          <w:sz w:val="30"/>
          <w:szCs w:val="30"/>
        </w:rPr>
      </w:pPr>
      <w:r>
        <w:rPr>
          <w:rFonts w:hint="eastAsia" w:ascii="仿宋" w:hAnsi="仿宋" w:eastAsia="仿宋" w:cs="仿宋"/>
          <w:bCs/>
          <w:sz w:val="30"/>
          <w:szCs w:val="30"/>
        </w:rPr>
        <w:t>第十三条 镇法制审核领导小组对送审材料不齐全并且无法补齐的送审案件，做出“不予审核”的审核意见。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bCs/>
          <w:sz w:val="30"/>
          <w:szCs w:val="30"/>
        </w:rPr>
        <w:t>第十四条镇法制审核领导小组对</w:t>
      </w:r>
      <w:r>
        <w:rPr>
          <w:rFonts w:hint="eastAsia" w:ascii="仿宋" w:hAnsi="仿宋" w:eastAsia="仿宋" w:cs="仿宋"/>
          <w:kern w:val="0"/>
          <w:sz w:val="30"/>
          <w:szCs w:val="30"/>
        </w:rPr>
        <w:t>案件事实清楚、证据确凿、</w:t>
      </w:r>
      <w:r>
        <w:rPr>
          <w:rFonts w:hint="eastAsia" w:ascii="仿宋" w:hAnsi="仿宋" w:eastAsia="仿宋" w:cs="仿宋"/>
          <w:sz w:val="30"/>
          <w:szCs w:val="30"/>
        </w:rPr>
        <w:t>适用依据正确、</w:t>
      </w:r>
      <w:r>
        <w:rPr>
          <w:rFonts w:hint="eastAsia" w:ascii="仿宋" w:hAnsi="仿宋" w:eastAsia="仿宋" w:cs="仿宋"/>
          <w:kern w:val="0"/>
          <w:sz w:val="30"/>
          <w:szCs w:val="30"/>
        </w:rPr>
        <w:t>程序合法、</w:t>
      </w:r>
      <w:r>
        <w:rPr>
          <w:rFonts w:hint="eastAsia" w:ascii="仿宋" w:hAnsi="仿宋" w:eastAsia="仿宋" w:cs="仿宋"/>
          <w:sz w:val="30"/>
          <w:szCs w:val="30"/>
        </w:rPr>
        <w:t>执行裁量权基准适当、</w:t>
      </w:r>
      <w:r>
        <w:rPr>
          <w:rFonts w:hint="eastAsia" w:ascii="仿宋" w:hAnsi="仿宋" w:eastAsia="仿宋" w:cs="仿宋"/>
          <w:kern w:val="0"/>
          <w:sz w:val="30"/>
          <w:szCs w:val="30"/>
        </w:rPr>
        <w:t>法律文书制作规范的送审案件，</w:t>
      </w:r>
      <w:r>
        <w:rPr>
          <w:rFonts w:hint="eastAsia" w:ascii="仿宋" w:hAnsi="仿宋" w:eastAsia="仿宋" w:cs="仿宋"/>
          <w:sz w:val="30"/>
          <w:szCs w:val="30"/>
        </w:rPr>
        <w:t>作出“予以核准”的审核意见。</w:t>
      </w:r>
    </w:p>
    <w:p>
      <w:pPr>
        <w:spacing w:line="360" w:lineRule="auto"/>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rPr>
        <w:t>第十五条 镇法制审核领导小组对超越镇政府法定权限，或者存在滥用职权的送审案件，</w:t>
      </w:r>
      <w:r>
        <w:rPr>
          <w:rFonts w:hint="eastAsia" w:ascii="仿宋" w:hAnsi="仿宋" w:eastAsia="仿宋" w:cs="仿宋"/>
          <w:sz w:val="30"/>
          <w:szCs w:val="30"/>
          <w:shd w:val="clear" w:color="auto" w:fill="FFFFFF"/>
        </w:rPr>
        <w:t>作出“不予核准”的审核意见。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shd w:val="clear" w:color="auto" w:fill="FFFFFF"/>
        </w:rPr>
        <w:t>第十六条 镇法制审核领导小组</w:t>
      </w:r>
      <w:r>
        <w:rPr>
          <w:rFonts w:hint="eastAsia" w:ascii="仿宋" w:hAnsi="仿宋" w:eastAsia="仿宋" w:cs="仿宋"/>
          <w:sz w:val="30"/>
          <w:szCs w:val="30"/>
        </w:rPr>
        <w:t>对事实不清、证据不足的送审案件，作出“不予核准”的审核意见。同时，提出行政执法机构重新调查或者补充调查的意见。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行政执法人员重新调查或者补充调查终结后应当再次送审。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第十七条 镇法制审核领导小组对定性不准、适用依据错误，或者不符合裁量基准规定的送审案件，作出“不予核准”的审核意见，同时，提出修正的意见。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行政执法人员按照审核意见修正后，应当再次将重大行政执法决定送审。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第十八条 镇法制审核领导小组，对违反法定程序的送审案件，作出“不予核准”的审核意见。同时，提出纠正的审核意见。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行政执法人员按照审核意见纠正后，应当再次将重大行政执法决定送审。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第十九条 镇法制审核领导小组对超出镇政府管辖范围或涉嫌犯罪的，作出“不予核准”的审核意见。同时，提出向有关机关移送案件的意见。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第二十条 镇法制审核意见应当经法制审核领导小组集体讨论通过，审核意见形成后，应当制作《重大行政执法决定法制审核意见书》，一式两份，存档一份，一份随案卷材料一并送交行政执法机构。行政执法机构应当将《重大行政执法决定法制审核意见书》附卷保存。</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网上办案的行政执法机关，在网上流转程序中完成法制审核的，不再单独出具书面的《重大行政执法决定法制审核意见书》。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第二十一条 《重大行政执法决定审核意见书》应当包括以下内容：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（一）法制审核机构名称、法制审核人员姓名；</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（二）送审的行政执法机构名称；</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（三）行政执法事项名称；</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（四）送审案件来源和送审时间；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（四）对送审案件各项实质性内容审查的论述；</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（五）审核结论意见；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（六）作出审核意见的时间。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第二十二条 具体的执法人员对审核意见有异议的，可以向法制审核机构提出异议，进行沟通协调。行政执法人员和镇法制审核机构达成一致意见的，按该意见处理。未达成一致意见的，由镇法制审核领导小组报请主管领导决定或者镇政府集体讨论决定。</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第二十三条 具体的执法部门在对审核意见提出异议期间，不得做出行政执法决定。</w:t>
      </w:r>
    </w:p>
    <w:p>
      <w:pPr>
        <w:spacing w:line="360" w:lineRule="auto"/>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rPr>
        <w:t xml:space="preserve">第二十四条 </w:t>
      </w:r>
      <w:r>
        <w:rPr>
          <w:rFonts w:hint="eastAsia" w:ascii="仿宋" w:hAnsi="仿宋" w:eastAsia="仿宋" w:cs="仿宋"/>
          <w:sz w:val="30"/>
          <w:szCs w:val="30"/>
          <w:shd w:val="clear" w:color="auto" w:fill="FFFFFF"/>
        </w:rPr>
        <w:t>具体的执法人员对送审材料的真实性、完整性、准确性，以及执法的事实、证据、法律适用、程序的合法性负责。</w:t>
      </w:r>
    </w:p>
    <w:p>
      <w:pPr>
        <w:spacing w:line="360" w:lineRule="auto"/>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第二十五条 镇法制审核领导小组对重大执法决定法制审核意见负责。</w:t>
      </w:r>
    </w:p>
    <w:p>
      <w:pPr>
        <w:tabs>
          <w:tab w:val="left" w:pos="6643"/>
        </w:tabs>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第二十六条 本制度自印发之日起施行</w:t>
      </w:r>
      <w:r>
        <w:rPr>
          <w:rFonts w:hint="eastAsia" w:ascii="仿宋" w:hAnsi="仿宋" w:eastAsia="仿宋" w:cs="仿宋"/>
          <w:sz w:val="30"/>
          <w:szCs w:val="30"/>
        </w:rPr>
        <w:tab/>
      </w:r>
    </w:p>
    <w:p>
      <w:pPr>
        <w:tabs>
          <w:tab w:val="left" w:pos="6643"/>
        </w:tabs>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p>
    <w:p>
      <w:pPr>
        <w:ind w:firstLine="3750" w:firstLineChars="1250"/>
        <w:rPr>
          <w:rFonts w:hint="eastAsia" w:ascii="仿宋" w:hAnsi="仿宋" w:eastAsia="仿宋" w:cs="仿宋"/>
          <w:sz w:val="30"/>
          <w:szCs w:val="30"/>
        </w:rPr>
      </w:pPr>
      <w:r>
        <w:rPr>
          <w:rFonts w:hint="eastAsia" w:ascii="仿宋" w:hAnsi="仿宋" w:eastAsia="仿宋" w:cs="仿宋"/>
          <w:sz w:val="30"/>
          <w:szCs w:val="30"/>
        </w:rPr>
        <w:t>抚顺县</w:t>
      </w:r>
      <w:r>
        <w:rPr>
          <w:rFonts w:hint="eastAsia" w:ascii="仿宋" w:hAnsi="仿宋" w:eastAsia="仿宋" w:cs="仿宋"/>
          <w:sz w:val="30"/>
          <w:szCs w:val="30"/>
          <w:lang w:eastAsia="zh-CN"/>
        </w:rPr>
        <w:t>后安</w:t>
      </w:r>
      <w:r>
        <w:rPr>
          <w:rFonts w:hint="eastAsia" w:ascii="仿宋" w:hAnsi="仿宋" w:eastAsia="仿宋" w:cs="仿宋"/>
          <w:sz w:val="30"/>
          <w:szCs w:val="30"/>
        </w:rPr>
        <w:t>镇</w:t>
      </w:r>
      <w:r>
        <w:rPr>
          <w:rFonts w:hint="eastAsia" w:ascii="仿宋" w:hAnsi="仿宋" w:eastAsia="仿宋" w:cs="仿宋"/>
          <w:sz w:val="30"/>
          <w:szCs w:val="30"/>
          <w:lang w:eastAsia="zh-CN"/>
        </w:rPr>
        <w:t>人民</w:t>
      </w:r>
      <w:r>
        <w:rPr>
          <w:rFonts w:hint="eastAsia" w:ascii="仿宋" w:hAnsi="仿宋" w:eastAsia="仿宋" w:cs="仿宋"/>
          <w:sz w:val="30"/>
          <w:szCs w:val="30"/>
        </w:rPr>
        <w:t>政府</w:t>
      </w:r>
    </w:p>
    <w:p>
      <w:pPr>
        <w:ind w:firstLine="4200" w:firstLineChars="1400"/>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27</w:t>
      </w:r>
      <w:bookmarkStart w:id="0" w:name="_GoBack"/>
      <w:bookmarkEnd w:id="0"/>
      <w:r>
        <w:rPr>
          <w:rFonts w:hint="eastAsia" w:ascii="仿宋" w:hAnsi="仿宋" w:eastAsia="仿宋" w:cs="仿宋"/>
          <w:sz w:val="30"/>
          <w:szCs w:val="30"/>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44D"/>
    <w:rsid w:val="00042ACB"/>
    <w:rsid w:val="00060DD2"/>
    <w:rsid w:val="000745A9"/>
    <w:rsid w:val="00087FFA"/>
    <w:rsid w:val="000F26DD"/>
    <w:rsid w:val="001137F3"/>
    <w:rsid w:val="001153C0"/>
    <w:rsid w:val="001431D6"/>
    <w:rsid w:val="001759E4"/>
    <w:rsid w:val="001C41D0"/>
    <w:rsid w:val="00221EA7"/>
    <w:rsid w:val="00223C2F"/>
    <w:rsid w:val="00224C23"/>
    <w:rsid w:val="00245729"/>
    <w:rsid w:val="00262564"/>
    <w:rsid w:val="002C5888"/>
    <w:rsid w:val="002F25F8"/>
    <w:rsid w:val="00323533"/>
    <w:rsid w:val="00383C50"/>
    <w:rsid w:val="003934C5"/>
    <w:rsid w:val="00394631"/>
    <w:rsid w:val="003A448E"/>
    <w:rsid w:val="003E3E8B"/>
    <w:rsid w:val="004027B6"/>
    <w:rsid w:val="00411334"/>
    <w:rsid w:val="00424B40"/>
    <w:rsid w:val="0045143C"/>
    <w:rsid w:val="00467BCA"/>
    <w:rsid w:val="004C3C4D"/>
    <w:rsid w:val="004E032B"/>
    <w:rsid w:val="005160BB"/>
    <w:rsid w:val="00531548"/>
    <w:rsid w:val="00531C52"/>
    <w:rsid w:val="00533B0F"/>
    <w:rsid w:val="0053751C"/>
    <w:rsid w:val="00586E46"/>
    <w:rsid w:val="005A3D5B"/>
    <w:rsid w:val="006E2C62"/>
    <w:rsid w:val="00736668"/>
    <w:rsid w:val="0077349A"/>
    <w:rsid w:val="00790F91"/>
    <w:rsid w:val="007A07AC"/>
    <w:rsid w:val="007A5184"/>
    <w:rsid w:val="007C23F2"/>
    <w:rsid w:val="00840EAA"/>
    <w:rsid w:val="008B071F"/>
    <w:rsid w:val="008C720B"/>
    <w:rsid w:val="008E3BD7"/>
    <w:rsid w:val="00925E96"/>
    <w:rsid w:val="009642CC"/>
    <w:rsid w:val="00973F52"/>
    <w:rsid w:val="009B2D3A"/>
    <w:rsid w:val="009D207D"/>
    <w:rsid w:val="00A1026C"/>
    <w:rsid w:val="00A517F8"/>
    <w:rsid w:val="00A71EE0"/>
    <w:rsid w:val="00A774A8"/>
    <w:rsid w:val="00AA4C37"/>
    <w:rsid w:val="00B114CE"/>
    <w:rsid w:val="00B14FD1"/>
    <w:rsid w:val="00B65E53"/>
    <w:rsid w:val="00BD3C2F"/>
    <w:rsid w:val="00C366E5"/>
    <w:rsid w:val="00C9498E"/>
    <w:rsid w:val="00CC0410"/>
    <w:rsid w:val="00CD113B"/>
    <w:rsid w:val="00D64A75"/>
    <w:rsid w:val="00D9544D"/>
    <w:rsid w:val="00E2238E"/>
    <w:rsid w:val="00E41232"/>
    <w:rsid w:val="00E446DE"/>
    <w:rsid w:val="00EC7EC1"/>
    <w:rsid w:val="00EE2072"/>
    <w:rsid w:val="00EE5CEB"/>
    <w:rsid w:val="00EF40C2"/>
    <w:rsid w:val="00F653F8"/>
    <w:rsid w:val="00F67D44"/>
    <w:rsid w:val="00F96966"/>
    <w:rsid w:val="00FE064F"/>
    <w:rsid w:val="00FF5E29"/>
    <w:rsid w:val="342B5720"/>
    <w:rsid w:val="582500CC"/>
    <w:rsid w:val="5D004D55"/>
    <w:rsid w:val="79245C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qFormat/>
    <w:uiPriority w:val="99"/>
    <w:pPr>
      <w:ind w:left="100" w:leftChars="2500"/>
    </w:pPr>
  </w:style>
  <w:style w:type="paragraph" w:styleId="4">
    <w:name w:val="Balloon Text"/>
    <w:basedOn w:val="1"/>
    <w:link w:val="11"/>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ing 1 Char"/>
    <w:basedOn w:val="8"/>
    <w:link w:val="2"/>
    <w:qFormat/>
    <w:locked/>
    <w:uiPriority w:val="99"/>
    <w:rPr>
      <w:rFonts w:cs="Times New Roman"/>
      <w:b/>
      <w:bCs/>
      <w:kern w:val="44"/>
      <w:sz w:val="44"/>
      <w:szCs w:val="44"/>
    </w:rPr>
  </w:style>
  <w:style w:type="character" w:customStyle="1" w:styleId="10">
    <w:name w:val="Date Char"/>
    <w:basedOn w:val="8"/>
    <w:link w:val="3"/>
    <w:semiHidden/>
    <w:qFormat/>
    <w:locked/>
    <w:uiPriority w:val="99"/>
    <w:rPr>
      <w:rFonts w:cs="Times New Roman"/>
    </w:rPr>
  </w:style>
  <w:style w:type="character" w:customStyle="1" w:styleId="11">
    <w:name w:val="Balloon Text Char"/>
    <w:basedOn w:val="8"/>
    <w:link w:val="4"/>
    <w:semiHidden/>
    <w:qFormat/>
    <w:locked/>
    <w:uiPriority w:val="99"/>
    <w:rPr>
      <w:rFonts w:cs="Times New Roman"/>
      <w:sz w:val="18"/>
      <w:szCs w:val="18"/>
    </w:rPr>
  </w:style>
  <w:style w:type="character" w:customStyle="1" w:styleId="12">
    <w:name w:val="Footer Char"/>
    <w:basedOn w:val="8"/>
    <w:link w:val="5"/>
    <w:qFormat/>
    <w:locked/>
    <w:uiPriority w:val="99"/>
    <w:rPr>
      <w:rFonts w:cs="Times New Roman"/>
      <w:sz w:val="18"/>
      <w:szCs w:val="18"/>
    </w:rPr>
  </w:style>
  <w:style w:type="character" w:customStyle="1" w:styleId="13">
    <w:name w:val="Header Char"/>
    <w:basedOn w:val="8"/>
    <w:link w:val="6"/>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http://sdwm.org</Company>
  <Pages>6</Pages>
  <Words>390</Words>
  <Characters>2223</Characters>
  <Lines>0</Lines>
  <Paragraphs>0</Paragraphs>
  <TotalTime>736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2019-07-08T06:08:00Z</dcterms:created>
  <dc:creator>深度完美技术论坛</dc:creator>
  <cp:lastModifiedBy>回归自然</cp:lastModifiedBy>
  <cp:lastPrinted>2019-08-13T05:59:00Z</cp:lastPrinted>
  <dcterms:modified xsi:type="dcterms:W3CDTF">2020-04-27T00:38:10Z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