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F2" w:rsidRPr="00794131" w:rsidRDefault="002663F9">
      <w:pPr>
        <w:widowControl/>
        <w:jc w:val="center"/>
        <w:rPr>
          <w:rFonts w:asciiTheme="majorEastAsia" w:eastAsiaTheme="majorEastAsia" w:hAnsiTheme="majorEastAsia" w:cstheme="majorEastAsia"/>
          <w:b/>
          <w:color w:val="333333"/>
          <w:kern w:val="0"/>
          <w:sz w:val="44"/>
          <w:szCs w:val="44"/>
        </w:rPr>
      </w:pPr>
      <w:r w:rsidRPr="00794131">
        <w:rPr>
          <w:rFonts w:asciiTheme="majorEastAsia" w:eastAsiaTheme="majorEastAsia" w:hAnsiTheme="majorEastAsia" w:cstheme="majorEastAsia" w:hint="eastAsia"/>
          <w:b/>
          <w:color w:val="333333"/>
          <w:kern w:val="0"/>
          <w:sz w:val="44"/>
          <w:szCs w:val="44"/>
        </w:rPr>
        <w:t>抚顺县自然资源局关于建立行政执法全过程记录制度的通知</w:t>
      </w:r>
    </w:p>
    <w:p w:rsidR="003342F2" w:rsidRDefault="002663F9">
      <w:pPr>
        <w:widowControl/>
        <w:rPr>
          <w:rFonts w:ascii="仿宋" w:eastAsia="仿宋" w:hAnsi="仿宋" w:cs="仿宋"/>
          <w:bCs/>
          <w:color w:val="333333"/>
          <w:kern w:val="0"/>
          <w:sz w:val="32"/>
          <w:szCs w:val="32"/>
        </w:rPr>
      </w:pPr>
      <w:r>
        <w:rPr>
          <w:rFonts w:ascii="仿宋" w:eastAsia="仿宋" w:hAnsi="仿宋" w:cs="仿宋" w:hint="eastAsia"/>
          <w:bCs/>
          <w:color w:val="333333"/>
          <w:kern w:val="0"/>
          <w:sz w:val="32"/>
          <w:szCs w:val="32"/>
        </w:rPr>
        <w:t>局属各单位：</w:t>
      </w:r>
    </w:p>
    <w:p w:rsidR="003342F2" w:rsidRDefault="002663F9">
      <w:pPr>
        <w:widowControl/>
        <w:ind w:firstLine="640"/>
        <w:rPr>
          <w:rFonts w:ascii="仿宋" w:eastAsia="仿宋" w:hAnsi="仿宋" w:cs="仿宋"/>
          <w:bCs/>
          <w:color w:val="333333"/>
          <w:kern w:val="0"/>
          <w:sz w:val="32"/>
          <w:szCs w:val="32"/>
        </w:rPr>
      </w:pPr>
      <w:r>
        <w:rPr>
          <w:rFonts w:ascii="仿宋" w:eastAsia="仿宋" w:hAnsi="仿宋" w:cs="仿宋" w:hint="eastAsia"/>
          <w:bCs/>
          <w:color w:val="333333"/>
          <w:kern w:val="0"/>
          <w:sz w:val="32"/>
          <w:szCs w:val="32"/>
        </w:rPr>
        <w:t>为深入贯彻国务院办公厅、辽宁省政府办公厅的指导意见和实施方案即(国办发【2018】118号）（辽政办发【2019】13号）的文件精神，确保行政机关（包括法律、法规授权组织，依法受委托实施行政执法的组织，下同）依法履行法定职责，进一步推进依法行政，现就建立抚顺县自然资源局行政执法全过程记录制度公告如下：</w:t>
      </w:r>
    </w:p>
    <w:p w:rsidR="003342F2" w:rsidRDefault="003342F2">
      <w:pPr>
        <w:widowControl/>
        <w:rPr>
          <w:rFonts w:ascii="仿宋" w:eastAsia="仿宋" w:hAnsi="仿宋" w:cs="仿宋"/>
          <w:bCs/>
          <w:color w:val="333333"/>
          <w:kern w:val="0"/>
          <w:sz w:val="32"/>
          <w:szCs w:val="32"/>
        </w:rPr>
      </w:pPr>
    </w:p>
    <w:p w:rsidR="003342F2" w:rsidRDefault="002663F9" w:rsidP="00513497">
      <w:pPr>
        <w:widowControl/>
        <w:jc w:val="center"/>
        <w:rPr>
          <w:rFonts w:ascii="仿宋" w:eastAsia="仿宋" w:hAnsi="仿宋" w:cs="仿宋"/>
          <w:b/>
          <w:color w:val="333333"/>
          <w:kern w:val="0"/>
          <w:sz w:val="32"/>
          <w:szCs w:val="32"/>
        </w:rPr>
      </w:pPr>
      <w:r>
        <w:rPr>
          <w:rFonts w:ascii="仿宋" w:eastAsia="仿宋" w:hAnsi="仿宋" w:cs="仿宋" w:hint="eastAsia"/>
          <w:b/>
          <w:color w:val="333333"/>
          <w:kern w:val="0"/>
          <w:sz w:val="32"/>
          <w:szCs w:val="32"/>
        </w:rPr>
        <w:t>抚顺县自然资源局行政执法全过程记录制度</w:t>
      </w:r>
    </w:p>
    <w:p w:rsidR="003342F2" w:rsidRDefault="003342F2" w:rsidP="00513497">
      <w:pPr>
        <w:widowControl/>
        <w:jc w:val="center"/>
        <w:rPr>
          <w:rFonts w:ascii="仿宋" w:eastAsia="仿宋" w:hAnsi="仿宋" w:cs="仿宋"/>
          <w:bCs/>
          <w:color w:val="333333"/>
          <w:kern w:val="0"/>
          <w:sz w:val="32"/>
          <w:szCs w:val="32"/>
        </w:rPr>
      </w:pPr>
    </w:p>
    <w:p w:rsidR="003342F2" w:rsidRDefault="002663F9">
      <w:pPr>
        <w:widowControl/>
        <w:tabs>
          <w:tab w:val="left" w:pos="628"/>
        </w:tabs>
        <w:ind w:firstLineChars="200" w:firstLine="643"/>
        <w:jc w:val="left"/>
        <w:rPr>
          <w:rFonts w:ascii="Arial" w:hAnsi="Arial" w:cs="Arial"/>
          <w:color w:val="333333"/>
        </w:rPr>
      </w:pPr>
      <w:r>
        <w:rPr>
          <w:rFonts w:ascii="仿宋_GB2312" w:eastAsia="仿宋_GB2312" w:hAnsi="仿宋_GB2312" w:cs="仿宋_GB2312"/>
          <w:b/>
          <w:color w:val="333333"/>
          <w:kern w:val="0"/>
          <w:sz w:val="32"/>
          <w:szCs w:val="32"/>
        </w:rPr>
        <w:t>第一章 总则</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b/>
          <w:color w:val="333333"/>
          <w:kern w:val="0"/>
          <w:sz w:val="32"/>
          <w:szCs w:val="32"/>
        </w:rPr>
        <w:t xml:space="preserve">　第一条</w:t>
      </w:r>
      <w:r>
        <w:rPr>
          <w:rFonts w:ascii="仿宋_GB2312" w:eastAsia="仿宋_GB2312" w:hAnsi="仿宋_GB2312" w:cs="仿宋_GB2312"/>
          <w:color w:val="333333"/>
          <w:kern w:val="0"/>
          <w:sz w:val="32"/>
          <w:szCs w:val="32"/>
        </w:rPr>
        <w:t xml:space="preserve"> 为了深入推进依法行政，进一步规范行政执法行为，加强行政权力的制约和监督，维护当事人和行政执法人员合法权益，根据《中华人民共和国行政处罚法》、《中华人民共和国行政强制法》、《中华人民共和国森林法》、《中华人民共和国野生动物保护法》等法律法规，结合林业实际，制定本制度。</w:t>
      </w:r>
    </w:p>
    <w:p w:rsidR="003342F2" w:rsidRDefault="002663F9">
      <w:pPr>
        <w:widowControl/>
        <w:jc w:val="left"/>
        <w:rPr>
          <w:rFonts w:ascii="Arial" w:hAnsi="Arial" w:cs="Arial"/>
          <w:color w:val="333333"/>
        </w:rPr>
      </w:pPr>
      <w:r>
        <w:rPr>
          <w:rFonts w:ascii="仿宋_GB2312" w:eastAsia="仿宋_GB2312" w:hAnsi="仿宋_GB2312" w:cs="仿宋_GB2312"/>
          <w:b/>
          <w:color w:val="333333"/>
          <w:kern w:val="0"/>
          <w:sz w:val="32"/>
          <w:szCs w:val="32"/>
        </w:rPr>
        <w:t xml:space="preserve">　　第二条</w:t>
      </w:r>
      <w:r>
        <w:rPr>
          <w:rFonts w:ascii="仿宋_GB2312" w:eastAsia="仿宋_GB2312" w:hAnsi="仿宋_GB2312" w:cs="仿宋_GB2312"/>
          <w:color w:val="333333"/>
          <w:kern w:val="0"/>
          <w:sz w:val="32"/>
          <w:szCs w:val="32"/>
        </w:rPr>
        <w:t xml:space="preserve"> 本制度所称的执法全过程记录，是指在林业行政执法过程中，通过完成执法案卷制作，充分利用执法记录仪等方式，对日常巡查、调查取证、文书送达等行政执法活动全过程进行记录。</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b/>
          <w:color w:val="333333"/>
          <w:kern w:val="0"/>
          <w:sz w:val="32"/>
          <w:szCs w:val="32"/>
        </w:rPr>
        <w:t>第三条</w:t>
      </w:r>
      <w:r>
        <w:rPr>
          <w:rFonts w:ascii="仿宋_GB2312" w:eastAsia="仿宋_GB2312" w:hAnsi="仿宋_GB2312" w:cs="仿宋_GB2312"/>
          <w:color w:val="333333"/>
          <w:kern w:val="0"/>
          <w:sz w:val="32"/>
          <w:szCs w:val="32"/>
        </w:rPr>
        <w:t xml:space="preserve"> 各执法单位应当加强对行政执法人员行政执法全过程记录的培训和监督检查，严格文书、影像资料、记录仪管理，充分发挥执法记录制度的监督作用。</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lastRenderedPageBreak/>
        <w:t xml:space="preserve">　</w:t>
      </w:r>
      <w:r>
        <w:rPr>
          <w:rFonts w:ascii="仿宋_GB2312" w:eastAsia="仿宋_GB2312" w:hAnsi="仿宋_GB2312" w:cs="仿宋_GB2312"/>
          <w:b/>
          <w:color w:val="333333"/>
          <w:kern w:val="0"/>
          <w:sz w:val="32"/>
          <w:szCs w:val="32"/>
        </w:rPr>
        <w:t xml:space="preserve">　第四条</w:t>
      </w:r>
      <w:r>
        <w:rPr>
          <w:rFonts w:ascii="仿宋_GB2312" w:eastAsia="仿宋_GB2312" w:hAnsi="仿宋_GB2312" w:cs="仿宋_GB2312"/>
          <w:color w:val="333333"/>
          <w:kern w:val="0"/>
          <w:sz w:val="32"/>
          <w:szCs w:val="32"/>
        </w:rPr>
        <w:t xml:space="preserve"> 财务部门要为行政执法全过程记录制度实施过程中，执法记录仪器等取证设备的配置、维护等方面提供必要的经费保障。</w:t>
      </w:r>
    </w:p>
    <w:p w:rsidR="003342F2" w:rsidRDefault="002663F9">
      <w:pPr>
        <w:widowControl/>
        <w:ind w:firstLineChars="200" w:firstLine="643"/>
        <w:jc w:val="left"/>
        <w:rPr>
          <w:rFonts w:ascii="Arial" w:hAnsi="Arial" w:cs="Arial"/>
          <w:color w:val="333333"/>
        </w:rPr>
      </w:pPr>
      <w:r>
        <w:rPr>
          <w:rFonts w:ascii="仿宋_GB2312" w:eastAsia="仿宋_GB2312" w:hAnsi="仿宋_GB2312" w:cs="仿宋_GB2312"/>
          <w:b/>
          <w:color w:val="333333"/>
          <w:kern w:val="0"/>
          <w:sz w:val="32"/>
          <w:szCs w:val="32"/>
        </w:rPr>
        <w:t>第二章 记录的形式、范围和载体</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b/>
          <w:color w:val="333333"/>
          <w:kern w:val="0"/>
          <w:sz w:val="32"/>
          <w:szCs w:val="32"/>
        </w:rPr>
        <w:t>第五条</w:t>
      </w:r>
      <w:r>
        <w:rPr>
          <w:rFonts w:ascii="仿宋_GB2312" w:eastAsia="仿宋_GB2312" w:hAnsi="仿宋_GB2312" w:cs="仿宋_GB2312"/>
          <w:color w:val="333333"/>
          <w:kern w:val="0"/>
          <w:sz w:val="32"/>
          <w:szCs w:val="32"/>
        </w:rPr>
        <w:t xml:space="preserve"> 行政执法全过程记录包括文字记录和动态记录两种形式。</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b/>
          <w:color w:val="333333"/>
          <w:kern w:val="0"/>
          <w:sz w:val="32"/>
          <w:szCs w:val="32"/>
        </w:rPr>
        <w:t>第六条</w:t>
      </w:r>
      <w:r>
        <w:rPr>
          <w:rFonts w:ascii="仿宋_GB2312" w:eastAsia="仿宋_GB2312" w:hAnsi="仿宋_GB2312" w:cs="仿宋_GB2312"/>
          <w:color w:val="333333"/>
          <w:kern w:val="0"/>
          <w:sz w:val="32"/>
          <w:szCs w:val="32"/>
        </w:rPr>
        <w:t xml:space="preserve"> 文字记录即通过文书、案卷制作记录行政执法的全过程。</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b/>
          <w:color w:val="333333"/>
          <w:kern w:val="0"/>
          <w:sz w:val="32"/>
          <w:szCs w:val="32"/>
        </w:rPr>
        <w:t>第七条</w:t>
      </w:r>
      <w:r>
        <w:rPr>
          <w:rFonts w:ascii="仿宋_GB2312" w:eastAsia="仿宋_GB2312" w:hAnsi="仿宋_GB2312" w:cs="仿宋_GB2312"/>
          <w:color w:val="333333"/>
          <w:kern w:val="0"/>
          <w:sz w:val="32"/>
          <w:szCs w:val="32"/>
        </w:rPr>
        <w:t xml:space="preserve"> 动态记录即通过执法记录仪、照相机、摄像机等执法记录设备对日常巡查、调查取证、询问当事人、文书送达、行政听证等行政执法活动进行记录，即录像、录音、照片等影像资料。</w:t>
      </w:r>
    </w:p>
    <w:p w:rsidR="003342F2" w:rsidRDefault="002663F9">
      <w:pPr>
        <w:widowControl/>
        <w:ind w:firstLineChars="200" w:firstLine="643"/>
        <w:jc w:val="left"/>
        <w:rPr>
          <w:rFonts w:ascii="Arial" w:hAnsi="Arial" w:cs="Arial"/>
          <w:color w:val="333333"/>
        </w:rPr>
      </w:pPr>
      <w:r>
        <w:rPr>
          <w:rFonts w:ascii="仿宋_GB2312" w:eastAsia="仿宋_GB2312" w:hAnsi="仿宋_GB2312" w:cs="仿宋_GB2312"/>
          <w:b/>
          <w:color w:val="333333"/>
          <w:kern w:val="0"/>
          <w:sz w:val="32"/>
          <w:szCs w:val="32"/>
        </w:rPr>
        <w:t>第三章 记录设备使用和管理</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b/>
          <w:color w:val="333333"/>
          <w:kern w:val="0"/>
          <w:sz w:val="32"/>
          <w:szCs w:val="32"/>
        </w:rPr>
        <w:t>第八条</w:t>
      </w:r>
      <w:r>
        <w:rPr>
          <w:rFonts w:ascii="仿宋_GB2312" w:eastAsia="仿宋_GB2312" w:hAnsi="仿宋_GB2312" w:cs="仿宋_GB2312"/>
          <w:color w:val="333333"/>
          <w:kern w:val="0"/>
          <w:sz w:val="32"/>
          <w:szCs w:val="32"/>
        </w:rPr>
        <w:t xml:space="preserve"> 建立影像资料管理制度，按照执法单位名称、执法记录设备编号、执法人员信息、案由及案件当事人等项目分类存储，严格管理。</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b/>
          <w:color w:val="333333"/>
          <w:kern w:val="0"/>
          <w:sz w:val="32"/>
          <w:szCs w:val="32"/>
        </w:rPr>
        <w:t>第九条</w:t>
      </w:r>
      <w:r>
        <w:rPr>
          <w:rFonts w:ascii="仿宋_GB2312" w:eastAsia="仿宋_GB2312" w:hAnsi="仿宋_GB2312" w:cs="仿宋_GB2312"/>
          <w:color w:val="333333"/>
          <w:kern w:val="0"/>
          <w:sz w:val="32"/>
          <w:szCs w:val="32"/>
        </w:rPr>
        <w:t xml:space="preserve"> 行政执法人员在查处违法行为、处理违法案件时，在条件允许的情况下，应当佩戴、使用执法记录仪进行全程录音录像，客观、真实地记录执法工作情况及相关证据；受客观条件限制，无法全程录音录像的，应当对重要环节使用照相机、摄像机等记录设备进行录音录像，并做好执法文书记录。</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b/>
          <w:color w:val="333333"/>
          <w:kern w:val="0"/>
          <w:sz w:val="32"/>
          <w:szCs w:val="32"/>
        </w:rPr>
        <w:t>第十条</w:t>
      </w:r>
      <w:r>
        <w:rPr>
          <w:rFonts w:ascii="仿宋_GB2312" w:eastAsia="仿宋_GB2312" w:hAnsi="仿宋_GB2312" w:cs="仿宋_GB2312"/>
          <w:color w:val="333333"/>
          <w:kern w:val="0"/>
          <w:sz w:val="32"/>
          <w:szCs w:val="32"/>
        </w:rPr>
        <w:t xml:space="preserve"> 各执法单位要定期做好执法记录设备的维护和保养，保持设备整洁、性能良好。在进行执法记录时，应当及时检查执法记录设备的电池容量、内存空间，保证执法记录设备正常使用。</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b/>
          <w:color w:val="333333"/>
          <w:kern w:val="0"/>
          <w:sz w:val="32"/>
          <w:szCs w:val="32"/>
        </w:rPr>
        <w:t>第四章 记录的保存及归档</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lastRenderedPageBreak/>
        <w:t xml:space="preserve">　　</w:t>
      </w:r>
      <w:r>
        <w:rPr>
          <w:rFonts w:ascii="仿宋_GB2312" w:eastAsia="仿宋_GB2312" w:hAnsi="仿宋_GB2312" w:cs="仿宋_GB2312"/>
          <w:b/>
          <w:color w:val="333333"/>
          <w:kern w:val="0"/>
          <w:sz w:val="32"/>
          <w:szCs w:val="32"/>
        </w:rPr>
        <w:t>第十一条</w:t>
      </w:r>
      <w:r>
        <w:rPr>
          <w:rFonts w:ascii="仿宋_GB2312" w:eastAsia="仿宋_GB2312" w:hAnsi="仿宋_GB2312" w:cs="仿宋_GB2312"/>
          <w:color w:val="333333"/>
          <w:kern w:val="0"/>
          <w:sz w:val="32"/>
          <w:szCs w:val="32"/>
        </w:rPr>
        <w:t xml:space="preserve"> 各执法单位负责本单位执法记录设备的影像资料和行政执法案卷日常存储、保管。</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b/>
          <w:color w:val="333333"/>
          <w:kern w:val="0"/>
          <w:sz w:val="32"/>
          <w:szCs w:val="32"/>
        </w:rPr>
        <w:t>第十二条</w:t>
      </w:r>
      <w:r>
        <w:rPr>
          <w:rFonts w:ascii="仿宋_GB2312" w:eastAsia="仿宋_GB2312" w:hAnsi="仿宋_GB2312" w:cs="仿宋_GB2312"/>
          <w:color w:val="333333"/>
          <w:kern w:val="0"/>
          <w:sz w:val="32"/>
          <w:szCs w:val="32"/>
        </w:rPr>
        <w:t xml:space="preserve"> 日常执法的影像资料保存期限不少于两年。行政处罚一般程序案件中作为证据使用的影像资料保存期限应当与案卷保存期限相同。</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b/>
          <w:color w:val="333333"/>
          <w:kern w:val="0"/>
          <w:sz w:val="32"/>
          <w:szCs w:val="32"/>
        </w:rPr>
        <w:t xml:space="preserve">　第十三条</w:t>
      </w:r>
      <w:r>
        <w:rPr>
          <w:rFonts w:ascii="仿宋_GB2312" w:eastAsia="仿宋_GB2312" w:hAnsi="仿宋_GB2312" w:cs="仿宋_GB2312"/>
          <w:color w:val="333333"/>
          <w:kern w:val="0"/>
          <w:sz w:val="32"/>
          <w:szCs w:val="32"/>
        </w:rPr>
        <w:t xml:space="preserve"> 有下列情形，应当采取刻录光盘等方式，长期保存记录的影像资料：</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（一）当事人对行政执法人员现场执法、办案有异议或者投诉、上访的；</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（二）当事人逃避、拒绝、阻碍行政执法人员依法执行公务，或者谩骂、侮辱、殴打行政执法人员的；</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（三）行政执法人员参与处置群体性事件、突发事件的；</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（四）其他需要长期保存的情况。</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b/>
          <w:color w:val="333333"/>
          <w:kern w:val="0"/>
          <w:sz w:val="32"/>
          <w:szCs w:val="32"/>
        </w:rPr>
        <w:t>第五章 检查和考评</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b/>
          <w:color w:val="333333"/>
          <w:kern w:val="0"/>
          <w:sz w:val="32"/>
          <w:szCs w:val="32"/>
        </w:rPr>
        <w:t xml:space="preserve">　第十四条</w:t>
      </w:r>
      <w:r>
        <w:rPr>
          <w:rFonts w:ascii="仿宋_GB2312" w:eastAsia="仿宋_GB2312" w:hAnsi="仿宋_GB2312" w:cs="仿宋_GB2312" w:hint="eastAsia"/>
          <w:color w:val="333333"/>
          <w:kern w:val="0"/>
          <w:sz w:val="32"/>
          <w:szCs w:val="32"/>
        </w:rPr>
        <w:t>积极配合上级部门</w:t>
      </w:r>
      <w:r>
        <w:rPr>
          <w:rFonts w:ascii="仿宋_GB2312" w:eastAsia="仿宋_GB2312" w:hAnsi="仿宋_GB2312" w:cs="仿宋_GB2312"/>
          <w:color w:val="333333"/>
          <w:kern w:val="0"/>
          <w:sz w:val="32"/>
          <w:szCs w:val="32"/>
        </w:rPr>
        <w:t>定期对</w:t>
      </w:r>
      <w:r>
        <w:rPr>
          <w:rFonts w:ascii="仿宋_GB2312" w:eastAsia="仿宋_GB2312" w:hAnsi="仿宋_GB2312" w:cs="仿宋_GB2312" w:hint="eastAsia"/>
          <w:color w:val="333333"/>
          <w:kern w:val="0"/>
          <w:sz w:val="32"/>
          <w:szCs w:val="32"/>
        </w:rPr>
        <w:t>我局</w:t>
      </w:r>
      <w:r>
        <w:rPr>
          <w:rFonts w:ascii="仿宋_GB2312" w:eastAsia="仿宋_GB2312" w:hAnsi="仿宋_GB2312" w:cs="仿宋_GB2312"/>
          <w:color w:val="333333"/>
          <w:kern w:val="0"/>
          <w:sz w:val="32"/>
          <w:szCs w:val="32"/>
        </w:rPr>
        <w:t>执法记录设备反映的行政执法人员队容风纪、文明执法情况进行抽检，对记录的案卷、影像资料进行回放检查，并建立检查台帐。</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b/>
          <w:color w:val="333333"/>
          <w:kern w:val="0"/>
          <w:sz w:val="32"/>
          <w:szCs w:val="32"/>
        </w:rPr>
        <w:t xml:space="preserve">　第十五条</w:t>
      </w:r>
      <w:r>
        <w:rPr>
          <w:rFonts w:ascii="仿宋_GB2312" w:eastAsia="仿宋_GB2312" w:hAnsi="仿宋_GB2312" w:cs="仿宋_GB2312"/>
          <w:color w:val="333333"/>
          <w:kern w:val="0"/>
          <w:sz w:val="32"/>
          <w:szCs w:val="32"/>
        </w:rPr>
        <w:t xml:space="preserve"> 行政执法人员在进行执法记录时，严禁下列行为：</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（一）在查处违法行为、处理违法案件时不进行执法全过程记录；</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（二）删减、修改执法记录设备记录的原始影像资料；</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（三）私自复制、保存或者传播、泄露执法记录的影像资料和案卷资料；</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lastRenderedPageBreak/>
        <w:t xml:space="preserve">　　（四）利用执法记录设备记录与执勤执法无关的活动；</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（五）故意毁坏执法文书、案卷材料、执法记录设备或者影像资料存储设备；</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（六）其他违反执法记录管理规定的行为。</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违反上述规定，情节轻微的，予以批评教育；情节严重的，给予警告、记过或者记大过处分，同时追究相关责任人的责任。</w:t>
      </w:r>
    </w:p>
    <w:p w:rsidR="003342F2" w:rsidRDefault="002663F9">
      <w:pPr>
        <w:widowControl/>
        <w:jc w:val="left"/>
        <w:rPr>
          <w:rFonts w:ascii="Arial" w:hAnsi="Arial" w:cs="Arial"/>
          <w:color w:val="333333"/>
        </w:rPr>
      </w:pP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b/>
          <w:color w:val="333333"/>
          <w:kern w:val="0"/>
          <w:sz w:val="32"/>
          <w:szCs w:val="32"/>
        </w:rPr>
        <w:t xml:space="preserve">　第六章 附则</w:t>
      </w:r>
    </w:p>
    <w:p w:rsidR="003342F2" w:rsidRDefault="002663F9">
      <w:pPr>
        <w:widowControl/>
        <w:ind w:firstLine="642"/>
        <w:jc w:val="left"/>
        <w:rPr>
          <w:rFonts w:ascii="仿宋" w:eastAsia="仿宋" w:hAnsi="仿宋" w:cs="仿宋"/>
          <w:color w:val="333333"/>
          <w:kern w:val="0"/>
          <w:sz w:val="32"/>
          <w:szCs w:val="32"/>
        </w:rPr>
      </w:pPr>
      <w:r>
        <w:rPr>
          <w:rFonts w:ascii="仿宋_GB2312" w:eastAsia="仿宋_GB2312" w:hAnsi="仿宋_GB2312" w:cs="仿宋_GB2312"/>
          <w:b/>
          <w:color w:val="333333"/>
          <w:kern w:val="0"/>
          <w:sz w:val="32"/>
          <w:szCs w:val="32"/>
        </w:rPr>
        <w:t xml:space="preserve">第十六条 </w:t>
      </w:r>
      <w:r>
        <w:rPr>
          <w:rFonts w:ascii="仿宋_GB2312" w:eastAsia="仿宋_GB2312" w:hAnsi="仿宋_GB2312" w:cs="仿宋_GB2312"/>
          <w:color w:val="333333"/>
          <w:kern w:val="0"/>
          <w:sz w:val="32"/>
          <w:szCs w:val="32"/>
        </w:rPr>
        <w:t>本制度自发布之日起实施。</w:t>
      </w:r>
    </w:p>
    <w:p w:rsidR="003342F2" w:rsidRDefault="003342F2">
      <w:pPr>
        <w:widowControl/>
        <w:ind w:firstLine="642"/>
        <w:jc w:val="left"/>
        <w:rPr>
          <w:rFonts w:ascii="仿宋" w:eastAsia="仿宋" w:hAnsi="仿宋" w:cs="仿宋"/>
          <w:color w:val="333333"/>
          <w:kern w:val="0"/>
          <w:sz w:val="32"/>
          <w:szCs w:val="32"/>
        </w:rPr>
      </w:pPr>
    </w:p>
    <w:p w:rsidR="003342F2" w:rsidRDefault="003342F2">
      <w:pPr>
        <w:widowControl/>
        <w:ind w:firstLine="642"/>
        <w:jc w:val="left"/>
        <w:rPr>
          <w:rFonts w:ascii="仿宋" w:eastAsia="仿宋" w:hAnsi="仿宋" w:cs="仿宋"/>
          <w:color w:val="333333"/>
          <w:kern w:val="0"/>
          <w:sz w:val="32"/>
          <w:szCs w:val="32"/>
        </w:rPr>
      </w:pPr>
    </w:p>
    <w:p w:rsidR="003342F2" w:rsidRDefault="003342F2">
      <w:pPr>
        <w:widowControl/>
        <w:ind w:firstLine="642"/>
        <w:jc w:val="left"/>
        <w:rPr>
          <w:rFonts w:ascii="仿宋" w:eastAsia="仿宋" w:hAnsi="仿宋" w:cs="仿宋"/>
          <w:color w:val="333333"/>
          <w:kern w:val="0"/>
          <w:sz w:val="32"/>
          <w:szCs w:val="32"/>
        </w:rPr>
      </w:pPr>
    </w:p>
    <w:p w:rsidR="003342F2" w:rsidRDefault="003342F2">
      <w:pPr>
        <w:widowControl/>
        <w:ind w:firstLine="642"/>
        <w:jc w:val="left"/>
        <w:rPr>
          <w:rFonts w:ascii="仿宋" w:eastAsia="仿宋" w:hAnsi="仿宋" w:cs="仿宋"/>
          <w:color w:val="333333"/>
          <w:kern w:val="0"/>
          <w:sz w:val="32"/>
          <w:szCs w:val="32"/>
        </w:rPr>
      </w:pPr>
    </w:p>
    <w:p w:rsidR="003342F2" w:rsidRDefault="003342F2">
      <w:pPr>
        <w:widowControl/>
        <w:ind w:firstLine="642"/>
        <w:jc w:val="left"/>
        <w:rPr>
          <w:rFonts w:ascii="仿宋" w:eastAsia="仿宋" w:hAnsi="仿宋" w:cs="仿宋"/>
          <w:color w:val="333333"/>
          <w:kern w:val="0"/>
          <w:sz w:val="32"/>
          <w:szCs w:val="32"/>
        </w:rPr>
      </w:pPr>
    </w:p>
    <w:p w:rsidR="003342F2" w:rsidRDefault="003342F2" w:rsidP="007E0E7A">
      <w:pPr>
        <w:widowControl/>
        <w:jc w:val="left"/>
        <w:rPr>
          <w:rFonts w:ascii="仿宋" w:eastAsia="仿宋" w:hAnsi="仿宋" w:cs="仿宋"/>
          <w:color w:val="333333"/>
          <w:kern w:val="0"/>
          <w:sz w:val="32"/>
          <w:szCs w:val="32"/>
        </w:rPr>
      </w:pPr>
    </w:p>
    <w:p w:rsidR="003342F2" w:rsidRDefault="003342F2">
      <w:pPr>
        <w:widowControl/>
        <w:ind w:firstLine="642"/>
        <w:jc w:val="left"/>
        <w:rPr>
          <w:rFonts w:ascii="仿宋" w:eastAsia="仿宋" w:hAnsi="仿宋" w:cs="仿宋"/>
          <w:color w:val="333333"/>
          <w:kern w:val="0"/>
          <w:sz w:val="32"/>
          <w:szCs w:val="32"/>
        </w:rPr>
      </w:pPr>
    </w:p>
    <w:p w:rsidR="003342F2" w:rsidRDefault="002663F9">
      <w:pPr>
        <w:widowControl/>
        <w:ind w:firstLineChars="1405" w:firstLine="4496"/>
        <w:jc w:val="left"/>
        <w:rPr>
          <w:rFonts w:ascii="仿宋" w:eastAsia="仿宋" w:hAnsi="仿宋" w:cs="仿宋"/>
          <w:color w:val="333333"/>
          <w:kern w:val="0"/>
          <w:sz w:val="32"/>
          <w:szCs w:val="32"/>
        </w:rPr>
      </w:pPr>
      <w:bookmarkStart w:id="0" w:name="_GoBack"/>
      <w:bookmarkEnd w:id="0"/>
      <w:r>
        <w:rPr>
          <w:rFonts w:ascii="仿宋" w:eastAsia="仿宋" w:hAnsi="仿宋" w:cs="仿宋" w:hint="eastAsia"/>
          <w:color w:val="333333"/>
          <w:kern w:val="0"/>
          <w:sz w:val="32"/>
          <w:szCs w:val="32"/>
        </w:rPr>
        <w:t xml:space="preserve"> 抚顺县自然资源局</w:t>
      </w:r>
    </w:p>
    <w:p w:rsidR="003342F2" w:rsidRDefault="007E0E7A">
      <w:pPr>
        <w:widowControl/>
        <w:ind w:firstLine="642"/>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 xml:space="preserve">                          2020</w:t>
      </w:r>
      <w:r w:rsidR="002663F9">
        <w:rPr>
          <w:rFonts w:ascii="仿宋" w:eastAsia="仿宋" w:hAnsi="仿宋" w:cs="仿宋" w:hint="eastAsia"/>
          <w:color w:val="333333"/>
          <w:kern w:val="0"/>
          <w:sz w:val="32"/>
          <w:szCs w:val="32"/>
        </w:rPr>
        <w:t>年</w:t>
      </w:r>
      <w:r>
        <w:rPr>
          <w:rFonts w:ascii="仿宋" w:eastAsia="仿宋" w:hAnsi="仿宋" w:cs="仿宋" w:hint="eastAsia"/>
          <w:color w:val="333333"/>
          <w:kern w:val="0"/>
          <w:sz w:val="32"/>
          <w:szCs w:val="32"/>
        </w:rPr>
        <w:t>3</w:t>
      </w:r>
      <w:r w:rsidR="002663F9">
        <w:rPr>
          <w:rFonts w:ascii="仿宋" w:eastAsia="仿宋" w:hAnsi="仿宋" w:cs="仿宋" w:hint="eastAsia"/>
          <w:color w:val="333333"/>
          <w:kern w:val="0"/>
          <w:sz w:val="32"/>
          <w:szCs w:val="32"/>
        </w:rPr>
        <w:t>月</w:t>
      </w:r>
      <w:r>
        <w:rPr>
          <w:rFonts w:ascii="仿宋" w:eastAsia="仿宋" w:hAnsi="仿宋" w:cs="仿宋" w:hint="eastAsia"/>
          <w:color w:val="333333"/>
          <w:kern w:val="0"/>
          <w:sz w:val="32"/>
          <w:szCs w:val="32"/>
        </w:rPr>
        <w:t>13</w:t>
      </w:r>
      <w:r w:rsidR="002663F9">
        <w:rPr>
          <w:rFonts w:ascii="仿宋" w:eastAsia="仿宋" w:hAnsi="仿宋" w:cs="仿宋" w:hint="eastAsia"/>
          <w:color w:val="333333"/>
          <w:kern w:val="0"/>
          <w:sz w:val="32"/>
          <w:szCs w:val="32"/>
        </w:rPr>
        <w:t>日</w:t>
      </w:r>
    </w:p>
    <w:p w:rsidR="003342F2" w:rsidRDefault="003342F2"/>
    <w:sectPr w:rsidR="003342F2" w:rsidSect="00794131">
      <w:pgSz w:w="11906" w:h="16838"/>
      <w:pgMar w:top="1134"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9CD" w:rsidRDefault="004B29CD" w:rsidP="00513497">
      <w:r>
        <w:separator/>
      </w:r>
    </w:p>
  </w:endnote>
  <w:endnote w:type="continuationSeparator" w:id="1">
    <w:p w:rsidR="004B29CD" w:rsidRDefault="004B29CD" w:rsidP="00513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9CD" w:rsidRDefault="004B29CD" w:rsidP="00513497">
      <w:r>
        <w:separator/>
      </w:r>
    </w:p>
  </w:footnote>
  <w:footnote w:type="continuationSeparator" w:id="1">
    <w:p w:rsidR="004B29CD" w:rsidRDefault="004B29CD" w:rsidP="005134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295388F"/>
    <w:rsid w:val="002663F9"/>
    <w:rsid w:val="003342F2"/>
    <w:rsid w:val="004B29CD"/>
    <w:rsid w:val="00513497"/>
    <w:rsid w:val="00794131"/>
    <w:rsid w:val="007C43EF"/>
    <w:rsid w:val="007E0E7A"/>
    <w:rsid w:val="5295388F"/>
    <w:rsid w:val="5EDF4F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42F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342F2"/>
    <w:rPr>
      <w:b/>
    </w:rPr>
  </w:style>
  <w:style w:type="character" w:styleId="a4">
    <w:name w:val="FollowedHyperlink"/>
    <w:basedOn w:val="a0"/>
    <w:rsid w:val="003342F2"/>
    <w:rPr>
      <w:rFonts w:ascii="Arial" w:hAnsi="Arial" w:cs="Arial"/>
      <w:color w:val="333333"/>
      <w:sz w:val="18"/>
      <w:szCs w:val="18"/>
      <w:u w:val="none"/>
    </w:rPr>
  </w:style>
  <w:style w:type="character" w:styleId="a5">
    <w:name w:val="Emphasis"/>
    <w:basedOn w:val="a0"/>
    <w:qFormat/>
    <w:rsid w:val="003342F2"/>
  </w:style>
  <w:style w:type="character" w:styleId="a6">
    <w:name w:val="Hyperlink"/>
    <w:basedOn w:val="a0"/>
    <w:qFormat/>
    <w:rsid w:val="003342F2"/>
    <w:rPr>
      <w:rFonts w:ascii="Arial" w:hAnsi="Arial" w:cs="Arial" w:hint="default"/>
      <w:color w:val="333333"/>
      <w:sz w:val="18"/>
      <w:szCs w:val="18"/>
      <w:u w:val="none"/>
    </w:rPr>
  </w:style>
  <w:style w:type="paragraph" w:styleId="a7">
    <w:name w:val="header"/>
    <w:basedOn w:val="a"/>
    <w:link w:val="Char"/>
    <w:rsid w:val="005134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513497"/>
    <w:rPr>
      <w:rFonts w:asciiTheme="minorHAnsi" w:eastAsiaTheme="minorEastAsia" w:hAnsiTheme="minorHAnsi" w:cstheme="minorBidi"/>
      <w:kern w:val="2"/>
      <w:sz w:val="18"/>
      <w:szCs w:val="18"/>
    </w:rPr>
  </w:style>
  <w:style w:type="paragraph" w:styleId="a8">
    <w:name w:val="footer"/>
    <w:basedOn w:val="a"/>
    <w:link w:val="Char0"/>
    <w:rsid w:val="00513497"/>
    <w:pPr>
      <w:tabs>
        <w:tab w:val="center" w:pos="4153"/>
        <w:tab w:val="right" w:pos="8306"/>
      </w:tabs>
      <w:snapToGrid w:val="0"/>
      <w:jc w:val="left"/>
    </w:pPr>
    <w:rPr>
      <w:sz w:val="18"/>
      <w:szCs w:val="18"/>
    </w:rPr>
  </w:style>
  <w:style w:type="character" w:customStyle="1" w:styleId="Char0">
    <w:name w:val="页脚 Char"/>
    <w:basedOn w:val="a0"/>
    <w:link w:val="a8"/>
    <w:rsid w:val="0051349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wty</dc:creator>
  <cp:lastModifiedBy>PC</cp:lastModifiedBy>
  <cp:revision>4</cp:revision>
  <dcterms:created xsi:type="dcterms:W3CDTF">2019-06-17T01:31:00Z</dcterms:created>
  <dcterms:modified xsi:type="dcterms:W3CDTF">2022-08-05T02:28:00Z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